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CE" w:rsidRDefault="00D5040A" w:rsidP="00D5040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5040A">
        <w:rPr>
          <w:rFonts w:ascii="Verdana" w:hAnsi="Verdana"/>
          <w:b/>
          <w:sz w:val="28"/>
          <w:szCs w:val="28"/>
        </w:rPr>
        <w:t>CORSO 200 ORE  PER GESTORE DELLA CRISI</w:t>
      </w:r>
    </w:p>
    <w:p w:rsidR="00D5040A" w:rsidRPr="00D5040A" w:rsidRDefault="00D5040A" w:rsidP="00D5040A">
      <w:pPr>
        <w:jc w:val="center"/>
        <w:rPr>
          <w:rFonts w:ascii="Verdana" w:hAnsi="Verdana"/>
          <w:b/>
          <w:i/>
          <w:sz w:val="24"/>
          <w:szCs w:val="24"/>
        </w:rPr>
      </w:pPr>
      <w:r w:rsidRPr="00D5040A">
        <w:rPr>
          <w:rFonts w:ascii="Verdana" w:hAnsi="Verdana"/>
          <w:b/>
          <w:i/>
          <w:sz w:val="24"/>
          <w:szCs w:val="24"/>
        </w:rPr>
        <w:t xml:space="preserve">MODULI </w:t>
      </w:r>
      <w:proofErr w:type="spellStart"/>
      <w:r w:rsidRPr="00D5040A">
        <w:rPr>
          <w:rFonts w:ascii="Verdana" w:hAnsi="Verdana"/>
          <w:b/>
          <w:i/>
          <w:sz w:val="24"/>
          <w:szCs w:val="24"/>
        </w:rPr>
        <w:t>DI</w:t>
      </w:r>
      <w:proofErr w:type="spellEnd"/>
      <w:r w:rsidRPr="00D5040A">
        <w:rPr>
          <w:rFonts w:ascii="Verdana" w:hAnsi="Verdana"/>
          <w:b/>
          <w:i/>
          <w:sz w:val="24"/>
          <w:szCs w:val="24"/>
        </w:rPr>
        <w:t xml:space="preserve"> APPRENDIMENTO ED ARGOMENTI TRATTATI</w:t>
      </w:r>
    </w:p>
    <w:p w:rsidR="00D5040A" w:rsidRDefault="00D5040A" w:rsidP="00D5040A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3928"/>
        <w:gridCol w:w="5800"/>
      </w:tblGrid>
      <w:tr w:rsidR="00F13650" w:rsidRPr="00F13650" w:rsidTr="00F1365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Moduli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Nozioni preliminari al </w:t>
            </w:r>
            <w:r w:rsidR="001C3D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sovra indebitamento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Introduzione al diritto generale delle obbligazioni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La responsabilità patrimoniale del debitore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Le garanzie del credito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La crisi economica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Finalità e funzioni della tutela esecutiva</w:t>
            </w:r>
          </w:p>
        </w:tc>
      </w:tr>
      <w:tr w:rsidR="00F13650" w:rsidRPr="00F13650" w:rsidTr="00F13650">
        <w:trPr>
          <w:trHeight w:val="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15" w:lineRule="atLeast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Consumatore e credito al consumo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La tutela del diritto di credito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Profili introduttivi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Le disfunzioni della giustizia civile e i rimedi alternativi di risoluzione delle controversie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L’insolvenza civile e l’esecuzione forzata individuale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L'impresa. L’imprenditore commerciale soggetto alle procedure concorsuali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Il fallimento e le altre procedure concorsuali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Il debitore civile: aspetti psicologici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I procedimenti di composizione del </w:t>
            </w:r>
            <w:proofErr w:type="spellStart"/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sovraindebitamento</w:t>
            </w:r>
            <w:proofErr w:type="spellEnd"/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e l'</w:t>
            </w:r>
            <w:proofErr w:type="spellStart"/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esdebitazione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Procedure di composizione delle crisi da sovra indebitamento nel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C.C.I.I.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>: le fonti normative europee e interne.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Presupposti soggettivi e oggettivi di ammissibilità alle procedure di composizione della crisi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Accordo di ristrutturazione dei debiti. (Concordato minore)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Piano del consumatore. (Ristrutturazione dei debiti del consumatore)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Liquidazione del patrimonio (Liquidazione controllata)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Rapporti tra procedimento di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sovraindebitamento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 e processo civile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Omologazione ed esecuzione dell’accordo e del piano. Revoca dell’omologazione e cessazione dei suoi effetti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L'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esdebitazione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>: profili generali.</w:t>
            </w:r>
          </w:p>
        </w:tc>
      </w:tr>
      <w:tr w:rsidR="00F13650" w:rsidRPr="00F13650" w:rsidTr="002B320D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L'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esdebitazione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 dell'imprenditore minore, del consumatore, del debitore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incapiente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 e del gruppo familiare.</w:t>
            </w:r>
          </w:p>
        </w:tc>
      </w:tr>
      <w:tr w:rsidR="00F13650" w:rsidRPr="00F13650" w:rsidTr="002B320D">
        <w:trPr>
          <w:trHeight w:val="98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Sanzioni: responsabilità penale del debitore e dei componenti degli O.C.C.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Casi pratici e aspetti operativi del </w:t>
            </w:r>
            <w:proofErr w:type="spellStart"/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sovraindebitamento</w:t>
            </w:r>
            <w:proofErr w:type="spellEnd"/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Omologazione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Il rito applicabile, il ruolo del giudice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Il rito applicabile, il ruolo degli organismi di composizione della crisi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Piano del consumatore: profili generali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Piano del consumatore:esecuzione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 Gruppi Familiari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Liquidazione del patrimonio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Ristrutturazione dei debiti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Il c.d. merito creditizio del debitore insolvente e le "responsabilità" del creditore-finanziatore</w:t>
            </w:r>
          </w:p>
        </w:tc>
      </w:tr>
      <w:tr w:rsidR="00F13650" w:rsidRPr="00F13650" w:rsidTr="00F13650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Profili finanziari, contabili e tributari</w:t>
            </w: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Profili operativi ed organizzativi</w:t>
            </w: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Default="00610769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7426C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10769" w:rsidRPr="00F13650" w:rsidRDefault="0047426C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Profili operativi ed organizzativi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lastRenderedPageBreak/>
              <w:t xml:space="preserve">Gestione finanziaria e prevenzione della crisi da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sovraindebitamento</w:t>
            </w:r>
            <w:proofErr w:type="spellEnd"/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I regimi contabili dei soggetti "non fallibili" e dell'imprenditore agricolo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Analisi della situazione finanziaria, patrimoniale, economica e fiscale del soggetto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sovraindebitato</w:t>
            </w:r>
            <w:proofErr w:type="spellEnd"/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Le modalità di indebitamento e il credito al consumo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Il resoconto sulla solvibilità dell'imprenditore e del consumatore</w:t>
            </w:r>
          </w:p>
        </w:tc>
      </w:tr>
      <w:tr w:rsidR="00F13650" w:rsidRPr="00F13650" w:rsidTr="00A074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496B0" w:themeColor="text2" w:themeTint="99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I profili tributari e previdenziali del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sovraindebitamento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610769" w:rsidRPr="00F13650" w:rsidTr="00A074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8496B0" w:themeColor="text2" w:themeTint="99"/>
            </w:tcBorders>
            <w:vAlign w:val="center"/>
            <w:hideMark/>
          </w:tcPr>
          <w:p w:rsidR="00610769" w:rsidRPr="00F13650" w:rsidRDefault="00610769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10769" w:rsidRPr="00F13650" w:rsidRDefault="00610769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13650" w:rsidRPr="00F13650" w:rsidTr="00A0746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8496B0" w:themeColor="text2" w:themeTint="99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10769" w:rsidRPr="00F13650" w:rsidRDefault="00F13650" w:rsidP="0061076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Profili aziendali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Ristrutturazione dei debiti attraverso un business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plan</w:t>
            </w:r>
            <w:proofErr w:type="spellEnd"/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Misure aziendalistiche per il risanamento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Il ruolo degli Organismi di Composizione della Crisi (O.C.C.) nelle procedure di composizione della crisi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Gli organismi di composizione della crisi come regolamentati dal D.M. 24 settembre 2014: requisiti soggettivi e modalità di funzionamento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Crediti sorti nell'ambito della procedura e compenso dei professionisti della procedura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Analisi di un piano del consumatore: l'equilibrio tra l'offerta e l'alternativa 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liquidatoria</w:t>
            </w:r>
            <w:proofErr w:type="spellEnd"/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Analisi di un accordo di ristrutturazione del debito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Analisi del regolamento di un Organismo di Composizione della Crisi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Predisposizione del Piano del consumatore, guida operativa standard qualitativi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Predisposizione Accordo di Ristrutturazione, guida operativa standard qualitativi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 xml:space="preserve">Predisposizione Liquidazione controllata, guida operativa standard qualitativi 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Predisposizione dell'</w:t>
            </w:r>
            <w:proofErr w:type="spellStart"/>
            <w:r w:rsidRPr="00F13650">
              <w:rPr>
                <w:rFonts w:ascii="Calibri" w:eastAsia="Times New Roman" w:hAnsi="Calibri" w:cs="Times New Roman"/>
                <w:lang w:eastAsia="it-IT"/>
              </w:rPr>
              <w:t>es</w:t>
            </w:r>
            <w:r w:rsidR="001C3D9E">
              <w:rPr>
                <w:rFonts w:ascii="Calibri" w:eastAsia="Times New Roman" w:hAnsi="Calibri" w:cs="Times New Roman"/>
                <w:lang w:eastAsia="it-IT"/>
              </w:rPr>
              <w:t>d</w:t>
            </w:r>
            <w:r w:rsidRPr="00F13650">
              <w:rPr>
                <w:rFonts w:ascii="Calibri" w:eastAsia="Times New Roman" w:hAnsi="Calibri" w:cs="Times New Roman"/>
                <w:lang w:eastAsia="it-IT"/>
              </w:rPr>
              <w:t>ebitazione</w:t>
            </w:r>
            <w:proofErr w:type="spellEnd"/>
            <w:r w:rsidRPr="00F13650">
              <w:rPr>
                <w:rFonts w:ascii="Calibri" w:eastAsia="Times New Roman" w:hAnsi="Calibri" w:cs="Times New Roman"/>
                <w:lang w:eastAsia="it-IT"/>
              </w:rPr>
              <w:t>:</w:t>
            </w:r>
            <w:r w:rsidR="001C3D9E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F13650">
              <w:rPr>
                <w:rFonts w:ascii="Calibri" w:eastAsia="Times New Roman" w:hAnsi="Calibri" w:cs="Times New Roman"/>
                <w:lang w:eastAsia="it-IT"/>
              </w:rPr>
              <w:t>guida operativa standard qualitativi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13650" w:rsidRPr="00F13650" w:rsidRDefault="00F13650" w:rsidP="00A07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Tirocinio</w:t>
            </w:r>
            <w:r w:rsidR="001C3D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di 6 mesi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Tirocinio presso un Organismo di Composizione della Crisi da sovra-indebitamento</w:t>
            </w: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F13650" w:rsidRPr="00F13650" w:rsidTr="00F136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Verifica finale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13650" w:rsidRPr="00F13650" w:rsidRDefault="00F13650" w:rsidP="00F13650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F13650">
              <w:rPr>
                <w:rFonts w:ascii="Calibri" w:eastAsia="Times New Roman" w:hAnsi="Calibri" w:cs="Times New Roman"/>
                <w:lang w:eastAsia="it-IT"/>
              </w:rPr>
              <w:t>VERIFICA finale sarà programmata dopo la conclusione del tirocinio</w:t>
            </w:r>
          </w:p>
        </w:tc>
      </w:tr>
    </w:tbl>
    <w:p w:rsidR="00D5040A" w:rsidRPr="00445D5D" w:rsidRDefault="00D5040A" w:rsidP="00445D5D">
      <w:pPr>
        <w:rPr>
          <w:rFonts w:ascii="Verdana" w:hAnsi="Verdana"/>
          <w:sz w:val="16"/>
          <w:szCs w:val="16"/>
        </w:rPr>
      </w:pPr>
    </w:p>
    <w:sectPr w:rsidR="00D5040A" w:rsidRPr="00445D5D" w:rsidSect="006613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A4" w:rsidRDefault="00BB75A4" w:rsidP="00AA6355">
      <w:pPr>
        <w:spacing w:after="0" w:line="240" w:lineRule="auto"/>
      </w:pPr>
      <w:r>
        <w:separator/>
      </w:r>
    </w:p>
  </w:endnote>
  <w:endnote w:type="continuationSeparator" w:id="0">
    <w:p w:rsidR="00BB75A4" w:rsidRDefault="00BB75A4" w:rsidP="00AA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A4" w:rsidRDefault="00BB75A4" w:rsidP="00AA6355">
      <w:pPr>
        <w:spacing w:after="0" w:line="240" w:lineRule="auto"/>
      </w:pPr>
      <w:r>
        <w:separator/>
      </w:r>
    </w:p>
  </w:footnote>
  <w:footnote w:type="continuationSeparator" w:id="0">
    <w:p w:rsidR="00BB75A4" w:rsidRDefault="00BB75A4" w:rsidP="00AA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5" w:rsidRDefault="00AA6355" w:rsidP="00AA6355">
    <w:pPr>
      <w:pStyle w:val="Intestazione"/>
    </w:pPr>
    <w:r w:rsidRPr="00AA6355">
      <w:rPr>
        <w:noProof/>
        <w:lang w:eastAsia="it-IT"/>
      </w:rPr>
      <w:drawing>
        <wp:inline distT="0" distB="0" distL="0" distR="0">
          <wp:extent cx="6114415" cy="1238250"/>
          <wp:effectExtent l="19050" t="0" r="63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205" w:rsidRDefault="00352205" w:rsidP="00AA6355">
    <w:pPr>
      <w:pStyle w:val="Intestazione"/>
    </w:pPr>
    <w:r w:rsidRPr="00352205">
      <w:rPr>
        <w:noProof/>
        <w:lang w:eastAsia="it-IT"/>
      </w:rPr>
      <w:drawing>
        <wp:inline distT="0" distB="0" distL="0" distR="0">
          <wp:extent cx="2209800" cy="690880"/>
          <wp:effectExtent l="1905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352205">
      <w:rPr>
        <w:noProof/>
        <w:lang w:eastAsia="it-IT"/>
      </w:rPr>
      <w:drawing>
        <wp:inline distT="0" distB="0" distL="0" distR="0">
          <wp:extent cx="2740070" cy="696035"/>
          <wp:effectExtent l="19050" t="0" r="313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882" cy="69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205" w:rsidRPr="00AA6355" w:rsidRDefault="00352205" w:rsidP="00AA635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29"/>
    <w:rsid w:val="000A7C95"/>
    <w:rsid w:val="000D6CBE"/>
    <w:rsid w:val="00160D3D"/>
    <w:rsid w:val="001C3D9E"/>
    <w:rsid w:val="002150D8"/>
    <w:rsid w:val="0023396F"/>
    <w:rsid w:val="00240574"/>
    <w:rsid w:val="002831C3"/>
    <w:rsid w:val="002B320D"/>
    <w:rsid w:val="002B3623"/>
    <w:rsid w:val="003079DA"/>
    <w:rsid w:val="00315B29"/>
    <w:rsid w:val="003500E4"/>
    <w:rsid w:val="00352205"/>
    <w:rsid w:val="0040684A"/>
    <w:rsid w:val="004123E0"/>
    <w:rsid w:val="00445D5D"/>
    <w:rsid w:val="0047426C"/>
    <w:rsid w:val="0047734D"/>
    <w:rsid w:val="005617E1"/>
    <w:rsid w:val="00610769"/>
    <w:rsid w:val="006369D5"/>
    <w:rsid w:val="0066138E"/>
    <w:rsid w:val="00671D8B"/>
    <w:rsid w:val="00710DD6"/>
    <w:rsid w:val="0071526B"/>
    <w:rsid w:val="0075425E"/>
    <w:rsid w:val="00761D1B"/>
    <w:rsid w:val="007C3CD0"/>
    <w:rsid w:val="008C5FAB"/>
    <w:rsid w:val="008D1DF0"/>
    <w:rsid w:val="00983454"/>
    <w:rsid w:val="00A07467"/>
    <w:rsid w:val="00AA6355"/>
    <w:rsid w:val="00AC7EFC"/>
    <w:rsid w:val="00AD6EEC"/>
    <w:rsid w:val="00B75F48"/>
    <w:rsid w:val="00BB75A4"/>
    <w:rsid w:val="00BC0A20"/>
    <w:rsid w:val="00C8221E"/>
    <w:rsid w:val="00CD320F"/>
    <w:rsid w:val="00CF26AF"/>
    <w:rsid w:val="00D5040A"/>
    <w:rsid w:val="00E70D4B"/>
    <w:rsid w:val="00EB4DB2"/>
    <w:rsid w:val="00F13650"/>
    <w:rsid w:val="00F764CE"/>
    <w:rsid w:val="00F92F91"/>
    <w:rsid w:val="00FA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6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355"/>
  </w:style>
  <w:style w:type="paragraph" w:styleId="Pidipagina">
    <w:name w:val="footer"/>
    <w:basedOn w:val="Normale"/>
    <w:link w:val="PidipaginaCarattere"/>
    <w:uiPriority w:val="99"/>
    <w:semiHidden/>
    <w:unhideWhenUsed/>
    <w:rsid w:val="00AA6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63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3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057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semiHidden/>
    <w:unhideWhenUsed/>
    <w:rsid w:val="0044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765D-C4D0-4AD1-A2A4-25B6D1F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 Marino</dc:creator>
  <cp:lastModifiedBy>Lenov1</cp:lastModifiedBy>
  <cp:revision>11</cp:revision>
  <dcterms:created xsi:type="dcterms:W3CDTF">2021-09-22T18:29:00Z</dcterms:created>
  <dcterms:modified xsi:type="dcterms:W3CDTF">2021-09-22T21:03:00Z</dcterms:modified>
</cp:coreProperties>
</file>